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42" w:rsidRDefault="00AF5F42" w:rsidP="00AF5F4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5F42">
        <w:rPr>
          <w:rFonts w:ascii="Arial" w:hAnsi="Arial" w:cs="Arial"/>
          <w:b/>
          <w:sz w:val="24"/>
          <w:szCs w:val="24"/>
        </w:rPr>
        <w:t>Boletín de difusión</w:t>
      </w:r>
    </w:p>
    <w:p w:rsidR="00AF5F42" w:rsidRPr="00AF5F42" w:rsidRDefault="00AF5F42" w:rsidP="00AF5F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1ª sesión ordinaria del STGA (Sabinas; R. </w:t>
      </w:r>
      <w:r w:rsidR="0018075E">
        <w:rPr>
          <w:rFonts w:ascii="Arial" w:hAnsi="Arial" w:cs="Arial"/>
          <w:b/>
          <w:sz w:val="24"/>
          <w:szCs w:val="24"/>
        </w:rPr>
        <w:t>Carbonífera</w:t>
      </w:r>
      <w:r>
        <w:rPr>
          <w:rFonts w:ascii="Arial" w:hAnsi="Arial" w:cs="Arial"/>
          <w:b/>
          <w:sz w:val="24"/>
          <w:szCs w:val="24"/>
        </w:rPr>
        <w:t>)</w:t>
      </w:r>
    </w:p>
    <w:p w:rsidR="00A70053" w:rsidRPr="00714B45" w:rsidRDefault="00AF5F42" w:rsidP="00AF5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6 de junio de 2019 a las 12:30 horas, conforme a la convocatoria previa, s</w:t>
      </w:r>
      <w:r w:rsidR="00006579" w:rsidRPr="00714B45">
        <w:rPr>
          <w:rFonts w:ascii="Arial" w:hAnsi="Arial" w:cs="Arial"/>
          <w:sz w:val="24"/>
          <w:szCs w:val="24"/>
        </w:rPr>
        <w:t xml:space="preserve">e realizó la primera sesión ordinaria de trabajo del </w:t>
      </w:r>
      <w:r w:rsidR="00714B45" w:rsidRPr="00714B45">
        <w:rPr>
          <w:rFonts w:ascii="Arial" w:hAnsi="Arial" w:cs="Arial"/>
          <w:sz w:val="24"/>
          <w:szCs w:val="24"/>
        </w:rPr>
        <w:t>Secretariado</w:t>
      </w:r>
      <w:r w:rsidR="00006579" w:rsidRPr="00714B45">
        <w:rPr>
          <w:rFonts w:ascii="Arial" w:hAnsi="Arial" w:cs="Arial"/>
          <w:sz w:val="24"/>
          <w:szCs w:val="24"/>
        </w:rPr>
        <w:t xml:space="preserve"> Técnico de Gobierno Abierto para Coahuila de Zaragoza, en la ciudad de Sabinas Coahuila, cumpliendo con lo establecido de llevar este esfuerzo a las diferentes regiones del Estado. </w:t>
      </w:r>
    </w:p>
    <w:p w:rsidR="00006579" w:rsidRPr="00714B45" w:rsidRDefault="00006579" w:rsidP="00AF5F42">
      <w:pPr>
        <w:jc w:val="both"/>
        <w:rPr>
          <w:rFonts w:ascii="Arial" w:hAnsi="Arial" w:cs="Arial"/>
          <w:sz w:val="24"/>
          <w:szCs w:val="24"/>
        </w:rPr>
      </w:pPr>
      <w:r w:rsidRPr="00714B45">
        <w:rPr>
          <w:rFonts w:ascii="Arial" w:hAnsi="Arial" w:cs="Arial"/>
          <w:sz w:val="24"/>
          <w:szCs w:val="24"/>
        </w:rPr>
        <w:t>En esta sesión se aprobaron</w:t>
      </w:r>
      <w:r w:rsidR="00714B45" w:rsidRPr="00714B45">
        <w:rPr>
          <w:rFonts w:ascii="Arial" w:hAnsi="Arial" w:cs="Arial"/>
          <w:sz w:val="24"/>
          <w:szCs w:val="24"/>
        </w:rPr>
        <w:t xml:space="preserve"> en</w:t>
      </w:r>
      <w:r w:rsidRPr="00714B45">
        <w:rPr>
          <w:rFonts w:ascii="Arial" w:hAnsi="Arial" w:cs="Arial"/>
          <w:sz w:val="24"/>
          <w:szCs w:val="24"/>
        </w:rPr>
        <w:t xml:space="preserve"> unanimidad </w:t>
      </w:r>
      <w:r w:rsidR="00714B45" w:rsidRPr="00714B45">
        <w:rPr>
          <w:rFonts w:ascii="Arial" w:hAnsi="Arial" w:cs="Arial"/>
          <w:sz w:val="24"/>
          <w:szCs w:val="24"/>
        </w:rPr>
        <w:t>por</w:t>
      </w:r>
      <w:r w:rsidRPr="00714B45">
        <w:rPr>
          <w:rFonts w:ascii="Arial" w:hAnsi="Arial" w:cs="Arial"/>
          <w:sz w:val="24"/>
          <w:szCs w:val="24"/>
        </w:rPr>
        <w:t xml:space="preserve"> quienes integran el secretariado las normas operativas y los canales de difusión de las actividades y de mecanismos de consulta para determinar los compromisos de trabajo para el plan de trabajo 2019-2020.</w:t>
      </w:r>
    </w:p>
    <w:p w:rsidR="00714B45" w:rsidRPr="00714B45" w:rsidRDefault="00714B45" w:rsidP="00AF5F42">
      <w:pPr>
        <w:jc w:val="both"/>
        <w:rPr>
          <w:rFonts w:ascii="Arial" w:hAnsi="Arial" w:cs="Arial"/>
          <w:sz w:val="24"/>
          <w:szCs w:val="24"/>
        </w:rPr>
      </w:pPr>
      <w:r w:rsidRPr="00714B45">
        <w:rPr>
          <w:rFonts w:ascii="Arial" w:hAnsi="Arial" w:cs="Arial"/>
          <w:sz w:val="24"/>
          <w:szCs w:val="24"/>
        </w:rPr>
        <w:t>Cabe destacar que el STGA está integrado por:</w:t>
      </w:r>
    </w:p>
    <w:p w:rsidR="00714B45" w:rsidRPr="00714B45" w:rsidRDefault="00714B45" w:rsidP="00AF5F42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4B45">
        <w:rPr>
          <w:rFonts w:ascii="Arial" w:eastAsia="Calibri" w:hAnsi="Arial" w:cs="Arial"/>
          <w:sz w:val="24"/>
          <w:szCs w:val="24"/>
        </w:rPr>
        <w:t>Un representante de la Sociedad Civil</w:t>
      </w:r>
    </w:p>
    <w:p w:rsidR="00714B45" w:rsidRPr="00714B45" w:rsidRDefault="00714B45" w:rsidP="00AF5F42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4B45">
        <w:rPr>
          <w:rFonts w:ascii="Arial" w:eastAsia="Calibri" w:hAnsi="Arial" w:cs="Arial"/>
          <w:sz w:val="24"/>
          <w:szCs w:val="24"/>
        </w:rPr>
        <w:t xml:space="preserve">Un representante de la Autoridad Local </w:t>
      </w:r>
    </w:p>
    <w:p w:rsidR="00714B45" w:rsidRPr="00714B45" w:rsidRDefault="00714B45" w:rsidP="00AF5F42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4B45">
        <w:rPr>
          <w:rFonts w:ascii="Arial" w:eastAsia="Calibri" w:hAnsi="Arial" w:cs="Arial"/>
          <w:sz w:val="24"/>
          <w:szCs w:val="24"/>
        </w:rPr>
        <w:t xml:space="preserve">Un representante del Órgano Garante (fungirá como Presidente del STGA) </w:t>
      </w:r>
    </w:p>
    <w:p w:rsidR="00714B45" w:rsidRPr="00714B45" w:rsidRDefault="00714B45" w:rsidP="00AF5F42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14B45">
        <w:rPr>
          <w:rFonts w:ascii="Arial" w:eastAsia="Calibri" w:hAnsi="Arial" w:cs="Arial"/>
          <w:sz w:val="24"/>
          <w:szCs w:val="24"/>
        </w:rPr>
        <w:t>Y sus respectivos suplentes.</w:t>
      </w:r>
    </w:p>
    <w:p w:rsidR="00714B45" w:rsidRPr="00714B45" w:rsidRDefault="00714B45" w:rsidP="00AF5F4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4B45">
        <w:rPr>
          <w:rFonts w:ascii="Arial" w:eastAsia="Calibri" w:hAnsi="Arial" w:cs="Arial"/>
          <w:sz w:val="24"/>
          <w:szCs w:val="24"/>
        </w:rPr>
        <w:t xml:space="preserve">      Un facilitador</w:t>
      </w:r>
    </w:p>
    <w:p w:rsidR="00714B45" w:rsidRPr="00714B45" w:rsidRDefault="00714B45" w:rsidP="00AF5F42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14B45" w:rsidRDefault="00714B45" w:rsidP="00AF5F42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714B45">
        <w:rPr>
          <w:rFonts w:ascii="Arial" w:hAnsi="Arial" w:cs="Arial"/>
          <w:sz w:val="24"/>
          <w:szCs w:val="24"/>
          <w:lang w:eastAsia="es-MX"/>
        </w:rPr>
        <w:t>Adicionalmente, se podrán integrar al Secretariado, con el fin de promover la participación ciudadana, los representantes de la sociedad civil que se considere conveniente.</w:t>
      </w:r>
    </w:p>
    <w:p w:rsidR="00AF5F42" w:rsidRPr="00714B45" w:rsidRDefault="00AF5F42" w:rsidP="00AF5F42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Además, se determinó la realización de jornadas ciudadanas y la instalación de un buzón electrónico que le permita al secretariado conocer el interés de la ciudadanía por los temas que serán compromisos de trabajo durante el periodo 2019-2020. Dichos mecanismos de consulta serán difundidos en su momento por el Organismo Garante (ICAI)</w:t>
      </w:r>
    </w:p>
    <w:p w:rsidR="00006579" w:rsidRPr="00AF5F42" w:rsidRDefault="00AF5F42" w:rsidP="00AF5F42">
      <w:pPr>
        <w:jc w:val="both"/>
        <w:rPr>
          <w:sz w:val="24"/>
        </w:rPr>
      </w:pPr>
      <w:r w:rsidRPr="00AF5F42">
        <w:rPr>
          <w:sz w:val="24"/>
        </w:rPr>
        <w:t>Asistieron a la sesión: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 xml:space="preserve">Lic. Bertha </w:t>
      </w:r>
      <w:proofErr w:type="spellStart"/>
      <w:r w:rsidRPr="00AF5F42">
        <w:t>Icela</w:t>
      </w:r>
      <w:proofErr w:type="spellEnd"/>
      <w:r w:rsidRPr="00AF5F42">
        <w:t xml:space="preserve"> Mata Ortiz, Suplente del Representante del Organismo Garante (ICAI), Comisionada del ICAI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 xml:space="preserve">Lic. Mariana </w:t>
      </w:r>
      <w:proofErr w:type="spellStart"/>
      <w:r w:rsidRPr="00AF5F42">
        <w:t>Pechir</w:t>
      </w:r>
      <w:proofErr w:type="spellEnd"/>
      <w:r w:rsidRPr="00AF5F42">
        <w:t xml:space="preserve"> Pérez, Suplente de la Representante de la Autoridad Local (SEFIR), Coordinadora de Órgano de Control Interno de SEFIR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 xml:space="preserve">Lic. René Arellano Gómez, Suplente de la Representante de la Sociedad Civil, Vicepresidente de la Asociación de Reporteros y Corresponsales del Norte de Coahuila 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Lic. Héctor Gil Müller, Facilitador del STGA, Director Nacional de Crecimiento de UANE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 xml:space="preserve">Lic. Javier Diez de </w:t>
      </w:r>
      <w:proofErr w:type="spellStart"/>
      <w:r w:rsidRPr="00AF5F42">
        <w:t>Urdanivia</w:t>
      </w:r>
      <w:proofErr w:type="spellEnd"/>
      <w:r w:rsidRPr="00AF5F42">
        <w:t xml:space="preserve"> del Valle, Comisionado del ICAI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CP José Manuel Jiménez y Meléndez, Comisionado ICAI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Lic. Miguel Ángel Medina Torres, Director General del ICAI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Dr. Daniel Moreno Villarreal, Enlace de la Sociedad Civil de la Región Centro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Ing. Judith Flores Aguilar, Enlace de la Sociedad Civil de la Región Carbonífera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Lic. Victoria Ramos del Bosque, Enlace de la Sociedad Civil de la Región Sureste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Lic. Leticia Martínez Flores, Directora de Capacitación y Cultura de la Transparencia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 xml:space="preserve">Lic. Ignacio Galindo, Sud Director de Gobierno Abierto </w:t>
      </w:r>
    </w:p>
    <w:p w:rsidR="00AF5F42" w:rsidRPr="00AF5F4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C. Ana María Esparza, Integrante de Por una vida digna contra el cáncer</w:t>
      </w:r>
    </w:p>
    <w:p w:rsidR="00AF5F42" w:rsidRPr="00626CA2" w:rsidRDefault="00AF5F42" w:rsidP="00AF5F42">
      <w:pPr>
        <w:pStyle w:val="Prrafodelista"/>
        <w:numPr>
          <w:ilvl w:val="0"/>
          <w:numId w:val="3"/>
        </w:numPr>
        <w:spacing w:line="259" w:lineRule="auto"/>
        <w:jc w:val="both"/>
      </w:pPr>
      <w:r w:rsidRPr="00AF5F42">
        <w:t>Lic. Juan Eduardo Zamora, ICAI</w:t>
      </w:r>
    </w:p>
    <w:sectPr w:rsidR="00AF5F42" w:rsidRPr="00626CA2" w:rsidSect="00AF5F4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AC" w:rsidRDefault="00B115AC" w:rsidP="00626CA2">
      <w:pPr>
        <w:spacing w:after="0" w:line="240" w:lineRule="auto"/>
      </w:pPr>
      <w:r>
        <w:separator/>
      </w:r>
    </w:p>
  </w:endnote>
  <w:endnote w:type="continuationSeparator" w:id="0">
    <w:p w:rsidR="00B115AC" w:rsidRDefault="00B115AC" w:rsidP="0062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AC" w:rsidRDefault="00B115AC" w:rsidP="00626CA2">
      <w:pPr>
        <w:spacing w:after="0" w:line="240" w:lineRule="auto"/>
      </w:pPr>
      <w:r>
        <w:separator/>
      </w:r>
    </w:p>
  </w:footnote>
  <w:footnote w:type="continuationSeparator" w:id="0">
    <w:p w:rsidR="00B115AC" w:rsidRDefault="00B115AC" w:rsidP="0062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A2" w:rsidRDefault="00626CA2">
    <w:pPr>
      <w:pStyle w:val="Encabezado"/>
    </w:pPr>
    <w:r w:rsidRPr="001246D8">
      <w:rPr>
        <w:noProof/>
        <w:lang w:eastAsia="es-MX"/>
      </w:rPr>
      <w:drawing>
        <wp:inline distT="0" distB="0" distL="0" distR="0" wp14:anchorId="60AEB89B" wp14:editId="29ED0327">
          <wp:extent cx="1802675" cy="657225"/>
          <wp:effectExtent l="0" t="0" r="7620" b="0"/>
          <wp:docPr id="4" name="Gráfico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1F27411-E8E9-DF4E-8C4A-8A836946BA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3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1F27411-E8E9-DF4E-8C4A-8A836946BA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17" cy="65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CA2" w:rsidRDefault="00626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2E25"/>
    <w:multiLevelType w:val="hybridMultilevel"/>
    <w:tmpl w:val="A89018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FE3024B2">
      <w:numFmt w:val="bullet"/>
      <w:lvlText w:val="•"/>
      <w:lvlJc w:val="left"/>
      <w:pPr>
        <w:ind w:left="1425" w:hanging="705"/>
      </w:pPr>
      <w:rPr>
        <w:rFonts w:ascii="Century Gothic" w:eastAsia="Calibri" w:hAnsi="Century Gothic" w:cs="Aria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351E2"/>
    <w:multiLevelType w:val="hybridMultilevel"/>
    <w:tmpl w:val="3328CE7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0356CE"/>
    <w:multiLevelType w:val="hybridMultilevel"/>
    <w:tmpl w:val="BD306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79"/>
    <w:rsid w:val="00006579"/>
    <w:rsid w:val="0018075E"/>
    <w:rsid w:val="002C4328"/>
    <w:rsid w:val="00626CA2"/>
    <w:rsid w:val="00714B45"/>
    <w:rsid w:val="008A21D7"/>
    <w:rsid w:val="00A70053"/>
    <w:rsid w:val="00AF5F42"/>
    <w:rsid w:val="00B115AC"/>
    <w:rsid w:val="00B313D8"/>
    <w:rsid w:val="00C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82D71-55B8-46DD-A793-412DD84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B45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CA2"/>
  </w:style>
  <w:style w:type="paragraph" w:styleId="Piedepgina">
    <w:name w:val="footer"/>
    <w:basedOn w:val="Normal"/>
    <w:link w:val="PiedepginaCar"/>
    <w:uiPriority w:val="99"/>
    <w:unhideWhenUsed/>
    <w:rsid w:val="0062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ppt/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Uane</dc:creator>
  <cp:keywords/>
  <dc:description/>
  <cp:lastModifiedBy>hp</cp:lastModifiedBy>
  <cp:revision>2</cp:revision>
  <dcterms:created xsi:type="dcterms:W3CDTF">2019-06-26T14:38:00Z</dcterms:created>
  <dcterms:modified xsi:type="dcterms:W3CDTF">2019-06-26T14:38:00Z</dcterms:modified>
</cp:coreProperties>
</file>